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2440"/>
          <w:sz w:val="38"/>
        </w:rPr>
        <w:t>Dienstwagenrichtlinie (Muster)</w:t>
      </w:r>
    </w:p>
    <w:p>
      <w:r>
        <w:rPr>
          <w:i/>
          <w:color w:val="475467"/>
          <w:sz w:val="18"/>
        </w:rPr>
        <w:t>Muster zum Anpassen. Ersetzen Sie alle Platzhalter in eckigen Klammern. Dieses Muster ist keine Rechtsberatung — lassen Sie die Fassung vor Inkrafttreten arbeitsrechtlich prüfen und beteiligen Sie Betriebs- oder Personalrat, wo erforderlich.</w:t>
      </w:r>
    </w:p>
    <w:p>
      <w:pPr>
        <w:spacing w:before="320"/>
      </w:pPr>
      <w:r>
        <w:rPr>
          <w:b/>
          <w:color w:val="0B2440"/>
          <w:sz w:val="30"/>
        </w:rPr>
        <w:t>Dienstwagenrichtlinie der [Organisation]</w:t>
      </w:r>
    </w:p>
    <w:p>
      <w:pPr>
        <w:spacing w:before="120"/>
      </w:pPr>
      <w:r>
        <w:rPr>
          <w:i/>
          <w:color w:val="2550D8"/>
          <w:sz w:val="18"/>
        </w:rPr>
        <w:t>Fassung [Version] · gültig ab [Datum] · beschlossen am [Datum] · abgestimmt mit [Betriebsrat / Personalrat] am [Datum]. Diese Fassung ersetzt die Fassung vom [Datum].</w:t>
      </w:r>
    </w:p>
    <w:p>
      <w:pPr>
        <w:spacing w:before="280"/>
      </w:pPr>
      <w:r>
        <w:rPr>
          <w:b/>
          <w:color w:val="0B2440"/>
          <w:sz w:val="24"/>
        </w:rPr>
        <w:t>1. Zweck und Geltungsbereich</w:t>
      </w:r>
    </w:p>
    <w:p>
      <w:pPr>
        <w:jc w:val="both"/>
      </w:pPr>
      <w:r>
        <w:t>Diese Richtlinie regelt die Überlassung, Nutzung, Pflege und Rückgabe von Dienstfahrzeugen der [Organisation]. Sie gilt für alle Beschäftigten, denen ein Fahrzeug überlassen wird, sowie für alle Personen, die Poolfahrzeuge nutzen. Abweichende einzelvertragliche Vereinbarungen gehen dieser Richtlinie vor.</w:t>
      </w:r>
    </w:p>
    <w:p>
      <w:pPr>
        <w:jc w:val="both"/>
      </w:pPr>
      <w:r>
        <w:t>Ziel ist ein einheitlicher, nachvollziehbarer Umgang mit Dienstfahrzeugen und die Erfüllung der Pflichten, die die [Organisation] als Halterin der Fahrzeuge treffen.</w:t>
      </w:r>
    </w:p>
    <w:p>
      <w:pPr>
        <w:spacing w:before="280"/>
      </w:pPr>
      <w:r>
        <w:rPr>
          <w:b/>
          <w:color w:val="0B2440"/>
          <w:sz w:val="24"/>
        </w:rPr>
        <w:t>2. Berechtigtenkreis</w:t>
      </w:r>
    </w:p>
    <w:p>
      <w:pPr>
        <w:jc w:val="both"/>
      </w:pPr>
      <w:r>
        <w:t>Ein Dienstfahrzeug zur ständigen Nutzung erhalten:</w:t>
      </w:r>
    </w:p>
    <w:p>
      <w:pPr>
        <w:pStyle w:val="ListBullet"/>
        <w:spacing w:after="60"/>
      </w:pPr>
      <w:r>
        <w:t>funktionsbezogen: Beschäftigte, deren Tätigkeit regelmäßige Außentermine erfordert — [Kriterium, z. B. mehr als X Auswärtstage im Monat],</w:t>
      </w:r>
    </w:p>
    <w:p>
      <w:pPr>
        <w:pStyle w:val="ListBullet"/>
        <w:spacing w:after="60"/>
      </w:pPr>
      <w:r>
        <w:t>statusbezogen: [Funktionen / Entgeltgruppen / Führungsebenen benennen].</w:t>
      </w:r>
    </w:p>
    <w:p>
      <w:pPr>
        <w:jc w:val="both"/>
      </w:pPr>
      <w:r>
        <w:t>Über Ausnahmen entscheidet [Stelle] auf schriftlichen Antrag der Führungskraft. Ein Anspruch auf ein Dienstfahrzeug besteht nur, soweit er einzelvertraglich vereinbart ist.</w:t>
      </w:r>
    </w:p>
    <w:p>
      <w:pPr>
        <w:jc w:val="both"/>
      </w:pPr>
      <w:r>
        <w:t>Alle übrigen Beschäftigten nutzen Poolfahrzeuge nach Abschnitt 9.</w:t>
      </w:r>
    </w:p>
    <w:p>
      <w:pPr>
        <w:spacing w:before="280"/>
      </w:pPr>
      <w:r>
        <w:rPr>
          <w:b/>
          <w:color w:val="0B2440"/>
          <w:sz w:val="24"/>
        </w:rPr>
        <w:t>3. Fahrzeugklassen und Budget</w:t>
      </w:r>
    </w:p>
    <w:p>
      <w:pPr>
        <w:jc w:val="both"/>
      </w:pPr>
      <w:r>
        <w:t>Maßgeblich ist eine Obergrenze, nicht eine Modellliste. Für jede Berechtigungsstufe gilt:</w:t>
      </w:r>
    </w:p>
    <w:p>
      <w:pPr>
        <w:pStyle w:val="ListBullet"/>
        <w:spacing w:after="60"/>
      </w:pPr>
      <w:r>
        <w:t>Stufe 1 [Bezeichnung]: bis [Betrag] Euro Bruttolistenpreis bzw. [Betrag] Euro monatliche Vollkostenrate,</w:t>
      </w:r>
    </w:p>
    <w:p>
      <w:pPr>
        <w:pStyle w:val="ListBullet"/>
        <w:spacing w:after="60"/>
      </w:pPr>
      <w:r>
        <w:t>Stufe 2 [Bezeichnung]: bis [Betrag] Euro,</w:t>
      </w:r>
    </w:p>
    <w:p>
      <w:pPr>
        <w:pStyle w:val="ListBullet"/>
        <w:spacing w:after="60"/>
      </w:pPr>
      <w:r>
        <w:t>Stufe 3 [Bezeichnung]: bis [Betrag] Euro.</w:t>
      </w:r>
    </w:p>
    <w:p>
      <w:pPr>
        <w:jc w:val="both"/>
      </w:pPr>
      <w:r>
        <w:t>Wünsche oberhalb der Obergrenze sind möglich, soweit die Differenz durch eine Zuzahlung ausgeglichen wird. Die Zuzahlung wird [monatlich vom Entgelt einbehalten / als Einmalzahlung geleistet] und mindert den geldwerten Vorteil.</w:t>
      </w:r>
    </w:p>
    <w:p>
      <w:pPr>
        <w:spacing w:before="120"/>
      </w:pPr>
      <w:r>
        <w:rPr>
          <w:i/>
          <w:color w:val="2550D8"/>
          <w:sz w:val="18"/>
        </w:rPr>
        <w:t>Hinweis: Wer Elektrofahrzeuge fördern will, setzt die Obergrenze bewusst unterhalb der steuerlichen Preisgrenze für die Viertelung des Listenpreises (§ 6 Abs. 1 Nr. 4 Satz 2 Nr. 3 EStG). Die Grenze hängt am Anschaffungsdatum und gehört deshalb in die Anlage, nicht in den Haupttext.</w:t>
      </w:r>
    </w:p>
    <w:p>
      <w:pPr>
        <w:jc w:val="both"/>
      </w:pPr>
      <w:r>
        <w:t>Die zulässigen Antriebsarten, Sonderausstattungen und Ausstattungsuntergrenzen (z. B. Fahrassistenz, Winterreifen) sind in Anlage 1 geregelt.</w:t>
      </w:r>
    </w:p>
    <w:p>
      <w:pPr>
        <w:spacing w:before="280"/>
      </w:pPr>
      <w:r>
        <w:rPr>
          <w:b/>
          <w:color w:val="0B2440"/>
          <w:sz w:val="24"/>
        </w:rPr>
        <w:t>4. Bestellung, Übergabe und Laufzeit</w:t>
      </w:r>
    </w:p>
    <w:p>
      <w:pPr>
        <w:pStyle w:val="ListBullet"/>
        <w:spacing w:after="60"/>
      </w:pPr>
      <w:r>
        <w:t>Die Bestellung erfolgt ausschließlich über [Stelle]. Eigenbeschaffungen werden nicht erstattet.</w:t>
      </w:r>
    </w:p>
    <w:p>
      <w:pPr>
        <w:pStyle w:val="ListBullet"/>
        <w:spacing w:after="60"/>
      </w:pPr>
      <w:r>
        <w:t>Die Laufzeit beträgt regelmäßig [Zahl] Monate oder [Zahl] Kilometer, je nachdem, was zuerst eintritt.</w:t>
      </w:r>
    </w:p>
    <w:p>
      <w:pPr>
        <w:pStyle w:val="ListBullet"/>
        <w:spacing w:after="60"/>
      </w:pPr>
      <w:r>
        <w:t>Bei der Übergabe werden Zustand, Kilometerstand und Zubehör in einem Übergabeprotokoll festgehalten; beide Seiten erhalten eine Ausfertigung.</w:t>
      </w:r>
    </w:p>
    <w:p>
      <w:pPr>
        <w:pStyle w:val="ListBullet"/>
        <w:spacing w:after="60"/>
      </w:pPr>
      <w:r>
        <w:t>Vor der ersten Überlassung ist die Fahrerlaubnis vorzulegen (Abschnitt 8).</w:t>
      </w:r>
    </w:p>
    <w:p>
      <w:pPr>
        <w:spacing w:before="280"/>
      </w:pPr>
      <w:r>
        <w:rPr>
          <w:b/>
          <w:color w:val="0B2440"/>
          <w:sz w:val="24"/>
        </w:rPr>
        <w:t>5. Private Nutzung</w:t>
      </w:r>
    </w:p>
    <w:p>
      <w:pPr>
        <w:jc w:val="both"/>
      </w:pPr>
      <w:r>
        <w:t>Die private Nutzung des überlassenen Fahrzeugs ist [zulässig / nicht zulässig]. Bei zulässiger Privatnutzung gilt:</w:t>
      </w:r>
    </w:p>
    <w:p>
      <w:pPr>
        <w:pStyle w:val="ListBullet"/>
        <w:spacing w:after="60"/>
      </w:pPr>
      <w:r>
        <w:t>Berechtigt zu führen sind [die nutzende Person / zusätzlich Ehe- und Lebenspartnerinnen und -partner sowie volljährige, im Haushalt lebende Kinder mit gültiger Fahrerlaubnis].</w:t>
      </w:r>
    </w:p>
    <w:p>
      <w:pPr>
        <w:pStyle w:val="ListBullet"/>
        <w:spacing w:after="60"/>
      </w:pPr>
      <w:r>
        <w:t>Fahrten ins Ausland sind [zulässig innerhalb der EU / nur nach vorheriger Zustimmung von Stelle] zulässig.</w:t>
      </w:r>
    </w:p>
    <w:p>
      <w:pPr>
        <w:pStyle w:val="ListBullet"/>
        <w:spacing w:after="60"/>
      </w:pPr>
      <w:r>
        <w:t>Die Nutzung für eine entgeltliche Beförderung von Personen oder Gütern sowie für motorsportliche Zwecke ist ausgeschlossen.</w:t>
      </w:r>
    </w:p>
    <w:p>
      <w:pPr>
        <w:pStyle w:val="ListBullet"/>
        <w:spacing w:after="60"/>
      </w:pPr>
      <w:r>
        <w:t>Der geldwerte Vorteil wird nach der 1-Prozent-Regelung bewertet, sofern nicht ein ordnungsgemäßes Fahrtenbuch geführt wird. Die Methode wird je Fahrzeug für das Kalenderjahr festgelegt und kann während des Jahres nicht gewechselt werden.</w:t>
      </w:r>
    </w:p>
    <w:p>
      <w:pPr>
        <w:spacing w:before="120"/>
      </w:pPr>
      <w:r>
        <w:rPr>
          <w:i/>
          <w:color w:val="2550D8"/>
          <w:sz w:val="18"/>
        </w:rPr>
        <w:t>Hinweis: Ist die Privatnutzung einzelvertraglich zugesagt, ist sie Teil der Vergütung. Ein Widerruf braucht dann eine wirksame vertragliche Widerrufsklausel; diese Richtlinie allein genügt dafür nicht. Formulierung und Reichweite einer solchen Klausel arbeitsrechtlich prüfen lassen.</w:t>
      </w:r>
    </w:p>
    <w:p>
      <w:pPr>
        <w:spacing w:before="280"/>
      </w:pPr>
      <w:r>
        <w:rPr>
          <w:b/>
          <w:color w:val="0B2440"/>
          <w:sz w:val="24"/>
        </w:rPr>
        <w:t>6. Tanken, Laden und Betriebskosten</w:t>
      </w:r>
    </w:p>
    <w:p>
      <w:pPr>
        <w:pStyle w:val="ListBullet"/>
        <w:spacing w:after="60"/>
      </w:pPr>
      <w:r>
        <w:t>Die [Organisation] trägt Kraftstoff, Ladestrom, Wartung, Reparatur, Versicherung, Steuer und Reifen im Rahmen des bestimmungsgemäßen Gebrauchs.</w:t>
      </w:r>
    </w:p>
    <w:p>
      <w:pPr>
        <w:pStyle w:val="ListBullet"/>
        <w:spacing w:after="60"/>
      </w:pPr>
      <w:r>
        <w:t>Getankt und geladen wird mit der überlassenen Tank- und Ladekarte. Belege sind [innerhalb von X Tagen] bei [Stelle] einzureichen.</w:t>
      </w:r>
    </w:p>
    <w:p>
      <w:pPr>
        <w:pStyle w:val="ListBullet"/>
        <w:spacing w:after="60"/>
      </w:pPr>
      <w:r>
        <w:t>Das Laden am Betriebsstandort ist [kostenfrei / nach Regelung in Anlage 2] möglich.</w:t>
      </w:r>
    </w:p>
    <w:p>
      <w:pPr>
        <w:pStyle w:val="ListBullet"/>
        <w:spacing w:after="60"/>
      </w:pPr>
      <w:r>
        <w:t>Für das Laden zu Hause gilt die Abrechnung nach Anlage 2. Die dort genannten Beträge sind jahresbezogen und werden jährlich überprüft.</w:t>
      </w:r>
    </w:p>
    <w:p>
      <w:pPr>
        <w:pStyle w:val="ListBullet"/>
        <w:spacing w:after="60"/>
      </w:pPr>
      <w:r>
        <w:t>Nicht erstattet werden Bußgelder, Verwarnungsgelder, Parkgebühren im Rahmen privater Fahrten sowie Kosten, die durch unsachgemäßen Gebrauch entstehen.</w:t>
      </w:r>
    </w:p>
    <w:p>
      <w:pPr>
        <w:spacing w:before="280"/>
      </w:pPr>
      <w:r>
        <w:rPr>
          <w:b/>
          <w:color w:val="0B2440"/>
          <w:sz w:val="24"/>
        </w:rPr>
        <w:t>7. Schäden und Unfälle</w:t>
      </w:r>
    </w:p>
    <w:p>
      <w:pPr>
        <w:pStyle w:val="ListBullet"/>
        <w:spacing w:after="60"/>
      </w:pPr>
      <w:r>
        <w:t>Jeder Schaden ist unverzüglich, spätestens am nächsten Arbeitstag, bei [Stelle] zu melden — auch ohne Fremdbeteiligung.</w:t>
      </w:r>
    </w:p>
    <w:p>
      <w:pPr>
        <w:pStyle w:val="ListBullet"/>
        <w:spacing w:after="60"/>
      </w:pPr>
      <w:r>
        <w:t>Bei Unfällen mit Personenschaden, Fremdbeteiligung oder unklarer Schuldfrage ist immer die Polizei hinzuzuziehen.</w:t>
      </w:r>
    </w:p>
    <w:p>
      <w:pPr>
        <w:pStyle w:val="ListBullet"/>
        <w:spacing w:after="60"/>
      </w:pPr>
      <w:r>
        <w:t>Die Selbstbeteiligung beträgt [Betrag] Euro je Schadensfall in der Vollkaskoversicherung.</w:t>
      </w:r>
    </w:p>
    <w:p>
      <w:pPr>
        <w:pStyle w:val="ListBullet"/>
        <w:spacing w:after="60"/>
      </w:pPr>
      <w:r>
        <w:t>Eine Beteiligung der nutzenden Person an den Kosten richtet sich nach den Grundsätzen der Arbeitnehmerhaftung; bei Vorsatz und grober Fahrlässigkeit, insbesondere bei Fahrten unter Alkohol- oder Drogeneinfluss, entfällt die Haftungsbeschränkung.</w:t>
      </w:r>
    </w:p>
    <w:p>
      <w:pPr>
        <w:pStyle w:val="ListBullet"/>
        <w:spacing w:after="60"/>
      </w:pPr>
      <w:r>
        <w:t>Das Fahrzeug darf nach einem Schaden nur weitergeführt werden, wenn die Verkehrssicherheit nicht beeinträchtigt ist.</w:t>
      </w:r>
    </w:p>
    <w:p>
      <w:pPr>
        <w:spacing w:before="280"/>
      </w:pPr>
      <w:r>
        <w:rPr>
          <w:b/>
          <w:color w:val="0B2440"/>
          <w:sz w:val="24"/>
        </w:rPr>
        <w:t>8. Pflichten der nutzenden Person</w:t>
      </w:r>
    </w:p>
    <w:p>
      <w:pPr>
        <w:jc w:val="both"/>
      </w:pPr>
      <w:r>
        <w:t>Die [Organisation] ist Halterin der Fahrzeuge. Aus dieser Stellung folgen Pflichten, an deren Erfüllung die nutzenden Personen mitwirken müssen:</w:t>
      </w:r>
    </w:p>
    <w:p>
      <w:pPr>
        <w:pStyle w:val="ListBullet"/>
        <w:spacing w:after="60"/>
      </w:pPr>
      <w:r>
        <w:t>Vorlage der Fahrerlaubnis im Original vor der ersten Überlassung und danach im Rahmen der wiederkehrenden Führerscheinkontrolle, regelmäßig [halbjährlich].</w:t>
      </w:r>
    </w:p>
    <w:p>
      <w:pPr>
        <w:pStyle w:val="ListBullet"/>
        <w:spacing w:after="60"/>
      </w:pPr>
      <w:r>
        <w:t>Unverzügliche Meldung eines Fahrverbots, einer Entziehung oder einer Beschränkung der Fahrerlaubnis. Das Fahrzeug darf ab diesem Zeitpunkt nicht mehr geführt werden.</w:t>
      </w:r>
    </w:p>
    <w:p>
      <w:pPr>
        <w:pStyle w:val="ListBullet"/>
        <w:spacing w:after="60"/>
      </w:pPr>
      <w:r>
        <w:t>Teilnahme an der jährlichen Unterweisung nach § 12 ArbSchG und § 4 DGUV Vorschrift 1.</w:t>
      </w:r>
    </w:p>
    <w:p>
      <w:pPr>
        <w:pStyle w:val="ListBullet"/>
        <w:spacing w:after="60"/>
      </w:pPr>
      <w:r>
        <w:t>Mitwirkung an der jährlichen Prüfung des Fahrzeugs auf betriebssicheren Zustand (§ 57 DGUV Vorschrift 70) und Bereitstellung des Fahrzeugs zu den vereinbarten Terminen.</w:t>
      </w:r>
    </w:p>
    <w:p>
      <w:pPr>
        <w:pStyle w:val="ListBullet"/>
        <w:spacing w:after="60"/>
      </w:pPr>
      <w:r>
        <w:t>Einhaltung der Wartungsintervalle und der Vorgaben zur Reifenausstattung.</w:t>
      </w:r>
    </w:p>
    <w:p>
      <w:pPr>
        <w:pStyle w:val="ListBullet"/>
        <w:spacing w:after="60"/>
      </w:pPr>
      <w:r>
        <w:t>Sorgfältige Behandlung, regelmäßige Sichtprüfung von Reifen, Beleuchtung und Flüssigkeitsständen sowie Sauberhaltung des Fahrzeugs.</w:t>
      </w:r>
    </w:p>
    <w:p>
      <w:pPr>
        <w:pStyle w:val="ListBullet"/>
        <w:spacing w:after="60"/>
      </w:pPr>
      <w:r>
        <w:t>Sicherung des Fahrzeugs gegen unbefugte Nutzung; Fahrzeugschlüssel und Papiere werden nicht im Fahrzeug aufbewahrt.</w:t>
      </w:r>
    </w:p>
    <w:p>
      <w:pPr>
        <w:spacing w:before="280"/>
      </w:pPr>
      <w:r>
        <w:rPr>
          <w:b/>
          <w:color w:val="0B2440"/>
          <w:sz w:val="24"/>
        </w:rPr>
        <w:t>9. Poolfahrzeuge</w:t>
      </w:r>
    </w:p>
    <w:p>
      <w:pPr>
        <w:pStyle w:val="ListBullet"/>
        <w:spacing w:after="60"/>
      </w:pPr>
      <w:r>
        <w:t>Poolfahrzeuge werden über [System / Stelle] gebucht. Ohne Buchung erfolgt keine Herausgabe.</w:t>
      </w:r>
    </w:p>
    <w:p>
      <w:pPr>
        <w:pStyle w:val="ListBullet"/>
        <w:spacing w:after="60"/>
      </w:pPr>
      <w:r>
        <w:t>Die Buchung setzt eine gültige Führerscheinkontrolle und eine aktuelle Unterweisung voraus.</w:t>
      </w:r>
    </w:p>
    <w:p>
      <w:pPr>
        <w:pStyle w:val="ListBullet"/>
        <w:spacing w:after="60"/>
      </w:pPr>
      <w:r>
        <w:t>Bei Übernahme und Rückgabe werden Kilometerstand, Tank- oder Ladestand und sichtbare Schäden erfasst.</w:t>
      </w:r>
    </w:p>
    <w:p>
      <w:pPr>
        <w:pStyle w:val="ListBullet"/>
        <w:spacing w:after="60"/>
      </w:pPr>
      <w:r>
        <w:t>Fahrzeuge werden [mit mindestens halb vollem Tank / vollgeladen] und gereinigt zurückgegeben.</w:t>
      </w:r>
    </w:p>
    <w:p>
      <w:pPr>
        <w:pStyle w:val="ListBullet"/>
        <w:spacing w:after="60"/>
      </w:pPr>
      <w:r>
        <w:t>Nicht angetretene Buchungen sind zu stornieren. Nach [Zahl] Minuten ohne Abholung wird die Buchung automatisch freigegeben.</w:t>
      </w:r>
    </w:p>
    <w:p>
      <w:pPr>
        <w:pStyle w:val="ListBullet"/>
        <w:spacing w:after="60"/>
      </w:pPr>
      <w:r>
        <w:t>Die private Nutzung von Poolfahrzeugen ist [nicht zulässig / nach gesonderter Regelung zulässig].</w:t>
      </w:r>
    </w:p>
    <w:p>
      <w:pPr>
        <w:spacing w:before="280"/>
      </w:pPr>
      <w:r>
        <w:rPr>
          <w:b/>
          <w:color w:val="0B2440"/>
          <w:sz w:val="24"/>
        </w:rPr>
        <w:t>10. Rückgabe</w:t>
      </w:r>
    </w:p>
    <w:p>
      <w:pPr>
        <w:pStyle w:val="ListBullet"/>
        <w:spacing w:after="60"/>
      </w:pPr>
      <w:r>
        <w:t>Das Fahrzeug ist zum vereinbarten Termin vollständig, gereinigt und mit allem Zubehör zurückzugeben — einschließlich beider Schlüsselsätze, Bordmappe, Ladekabel und Zweitbereifung.</w:t>
      </w:r>
    </w:p>
    <w:p>
      <w:pPr>
        <w:pStyle w:val="ListBullet"/>
        <w:spacing w:after="60"/>
      </w:pPr>
      <w:r>
        <w:t>Der Zustand wird in einem Rückgabeprotokoll festgehalten. Maßstab sind die Rückgabebedingungen des Leasinggebers (Anlage 3).</w:t>
      </w:r>
    </w:p>
    <w:p>
      <w:pPr>
        <w:pStyle w:val="ListBullet"/>
        <w:spacing w:after="60"/>
      </w:pPr>
      <w:r>
        <w:t>Über den normalen Gebrauch hinausgehende Schäden werden [nach den Grundsätzen der Arbeitnehmerhaftung behandelt].</w:t>
      </w:r>
    </w:p>
    <w:p>
      <w:pPr>
        <w:pStyle w:val="ListBullet"/>
        <w:spacing w:after="60"/>
      </w:pPr>
      <w:r>
        <w:t>Bei Beendigung des Beschäftigungsverhältnisses, bei Freistellung und bei längerer Abwesenheit über [Zahl] Wochen ist das Fahrzeug auf Anforderung zurückzugeben.</w:t>
      </w:r>
    </w:p>
    <w:p>
      <w:pPr>
        <w:spacing w:before="280"/>
      </w:pPr>
      <w:r>
        <w:rPr>
          <w:b/>
          <w:color w:val="0B2440"/>
          <w:sz w:val="24"/>
        </w:rPr>
        <w:t>11. Datenschutz</w:t>
      </w:r>
    </w:p>
    <w:p>
      <w:pPr>
        <w:jc w:val="both"/>
      </w:pPr>
      <w:r>
        <w:t>Im Zusammenhang mit der Fahrzeugnutzung werden personenbezogene Daten verarbeitet: Stammdaten, Ergebnisse der Führerscheinkontrolle, Unterweisungsnachweise, Buchungs- und Übergabedaten, Tank- und Ladebelege sowie Schadendaten. Zweck, Rechtsgrundlage, Zugriffsberechtigte und Löschfristen sind im Verzeichnis der Verarbeitungstätigkeiten der [Organisation] dokumentiert.</w:t>
      </w:r>
    </w:p>
    <w:p>
      <w:pPr>
        <w:jc w:val="both"/>
      </w:pPr>
      <w:r>
        <w:t>[Sofern zutreffend:] Die Fahrzeuge sind mit [Telematik / Ortung / elektronischem Fahrtenbuch] ausgestattet. Umfang der Erhebung, zulässige Auswertungen, Zugriffsberechtigte und Löschfristen regelt die [Betriebsvereinbarung / Dienstvereinbarung] vom [Datum].</w:t>
      </w:r>
    </w:p>
    <w:p>
      <w:pPr>
        <w:spacing w:before="120"/>
      </w:pPr>
      <w:r>
        <w:rPr>
          <w:i/>
          <w:color w:val="2550D8"/>
          <w:sz w:val="18"/>
        </w:rPr>
        <w:t>Hinweis: Systeme, die Verhalten oder Leistung erfassen können, sind mitbestimmungspflichtig (§ 87 Abs. 1 Nr. 6 BetrVG, § 80 Abs. 1 Nr. 21 BPersVG). Maßgeblich ist die Eignung zur Überwachung, nicht die Absicht. Ohne Beteiligung ist die betreffende Regelung unwirksam.</w:t>
      </w:r>
    </w:p>
    <w:p>
      <w:pPr>
        <w:spacing w:before="280"/>
      </w:pPr>
      <w:r>
        <w:rPr>
          <w:b/>
          <w:color w:val="0B2440"/>
          <w:sz w:val="24"/>
        </w:rPr>
        <w:t>12. Verstöße</w:t>
      </w:r>
    </w:p>
    <w:p>
      <w:pPr>
        <w:jc w:val="both"/>
      </w:pPr>
      <w:r>
        <w:t>Verstöße gegen diese Richtlinie können arbeitsrechtliche Folgen haben. Bei Verstößen gegen die Mitwirkungspflichten nach Abschnitt 8 kann die Überlassung bis zur Nachholung ausgesetzt werden. Das Führen eines Fahrzeugs ohne gültige Fahrerlaubnis ist eine Straftat und führt in jedem Fall zum sofortigen Entzug der Nutzungsberechtigung.</w:t>
      </w:r>
    </w:p>
    <w:p>
      <w:pPr>
        <w:spacing w:before="280"/>
      </w:pPr>
      <w:r>
        <w:rPr>
          <w:b/>
          <w:color w:val="0B2440"/>
          <w:sz w:val="24"/>
        </w:rPr>
        <w:t>13. Inkrafttreten</w:t>
      </w:r>
    </w:p>
    <w:p>
      <w:pPr>
        <w:jc w:val="both"/>
      </w:pPr>
      <w:r>
        <w:t>Diese Richtlinie tritt am [Datum] in Kraft und ersetzt die Fassung vom [Datum]. Sie wird jährlich überprüft, spätestens jedoch bei Änderung der steuerlichen Rahmenbedingungen. Die jeweils gültige Fassung ist unter [Ort / Intranet] abrufbar.</w:t>
      </w:r>
    </w:p>
    <w:p>
      <w:pPr>
        <w:jc w:val="both"/>
      </w:pPr>
      <w:r>
        <w:t>[Ort], [Datum]     [Unterschrift Geschäftsführung / Dienststellenleitung]</w:t>
      </w:r>
    </w:p>
    <w:p>
      <w:pPr>
        <w:spacing w:before="280"/>
      </w:pPr>
      <w:r>
        <w:rPr>
          <w:b/>
          <w:color w:val="0B2440"/>
          <w:sz w:val="24"/>
        </w:rPr>
        <w:t>Anlagen</w:t>
      </w:r>
    </w:p>
    <w:p>
      <w:pPr>
        <w:pStyle w:val="ListBullet"/>
        <w:spacing w:after="60"/>
      </w:pPr>
      <w:r>
        <w:t>Anlage 1: Zulässige Fahrzeuge, Antriebsarten und Ausstattungen (Stand [Datum])</w:t>
      </w:r>
    </w:p>
    <w:p>
      <w:pPr>
        <w:pStyle w:val="ListBullet"/>
        <w:spacing w:after="60"/>
      </w:pPr>
      <w:r>
        <w:t>Anlage 2: Tanken und Laden — Karten, Abrechnungswege, Beträge für das Laden zu Hause (Stand [Datum])</w:t>
      </w:r>
    </w:p>
    <w:p>
      <w:pPr>
        <w:pStyle w:val="ListBullet"/>
        <w:spacing w:after="60"/>
      </w:pPr>
      <w:r>
        <w:t>Anlage 3: Rückgabebedingungen und Bewertung von Gebrauchsspuren (Stand [Datum])</w:t>
      </w:r>
    </w:p>
    <w:p>
      <w:pPr>
        <w:pStyle w:val="ListBullet"/>
        <w:spacing w:after="60"/>
      </w:pPr>
      <w:r>
        <w:t>Anlage 4: Übergabe- und Rückgabeprotokoll</w:t>
      </w:r>
    </w:p>
    <w:p>
      <w:pPr>
        <w:spacing w:before="120"/>
      </w:pPr>
      <w:r>
        <w:rPr>
          <w:i/>
          <w:color w:val="2550D8"/>
          <w:sz w:val="18"/>
        </w:rPr>
        <w:t>Alle veränderlichen Werte — Preisgrenzen, Pauschalen, Selbstbeteiligungen, Fahrzeuglisten — stehen bewusst in den Anlagen. So ändert sich bei einer Anpassung ein datiertes Blatt und nicht der Haupttext an zwölf Stellen.</w:t>
      </w:r>
    </w:p>
    <w:p>
      <w:r>
        <w:rPr>
          <w:color w:val="475467"/>
          <w:sz w:val="16"/>
        </w:rPr>
        <w:br/>
        <w:t>Vorlage von mobilitymanager.io · Version 1.0 · Stand 17.09.2026 · Nutzung frei, ohne Registrierung. Keine Rechtsberatung.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