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B2440"/>
          <w:sz w:val="36"/>
        </w:rPr>
        <w:t>Eckpunkte für eine Dienstvereinbarung zum digitalen Fahrtenbuch</w:t>
      </w:r>
    </w:p>
    <w:p>
      <w:r>
        <w:rPr>
          <w:b w:val="0"/>
          <w:i/>
          <w:color w:val="475467"/>
          <w:sz w:val="19"/>
        </w:rPr>
        <w:t>Checkliste der Punkte, die zwischen Dienststelle und Personalrat — in privatrechtlichen Gesellschaften zwischen Arbeitgeber und Betriebsrat — zu klären sind, bevor ein digitales Fahrtenbuch eingeführt wird.</w:t>
      </w:r>
    </w:p>
    <w:p>
      <w:r>
        <w:rPr>
          <w:b/>
          <w:i w:val="0"/>
          <w:color w:val="2550D8"/>
          <w:sz w:val="19"/>
        </w:rPr>
        <w:t>Keine Rechtsberatung, kein Mustervertrag. Diese Checkliste formuliert keine Vereinbarung, sondern nennt die Fragen, die eine Vereinbarung beantworten sollte. Den Text der Vereinbarung erarbeiten Dienststelle und Personalrat selbst; lassen Sie ihn vor Abschluss rechtlich prüfen und beteiligen Sie die oder den Datenschutzbeauftragten.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Warum eine Dienstvereinbarung</w:t>
      </w:r>
    </w:p>
    <w:p>
      <w:pPr>
        <w:jc w:val="both"/>
      </w:pPr>
      <w:r>
        <w:t>Ein digitales Fahrtenbuch erfasst, wer wann welches Fahrzeug wohin und wozu gefahren hat. Damit ist es eine technische Einrichtung, die objektiv geeignet ist, Verhalten oder Leistung von Beschäftigten zu überwachen — unabhängig davon, ob die Dienststelle das beabsichtigt. Die Einführung ist deshalb mitbestimmungspflichtig.</w:t>
      </w:r>
    </w:p>
    <w:p>
      <w:pPr>
        <w:pStyle w:val="ListBullet"/>
        <w:spacing w:after="60"/>
      </w:pPr>
      <w:r>
        <w:t>Nordrhein-Westfalen: § 72 Abs. 3 Nr. 2 LPVG NRW unterwirft die „Einführung, Anwendung und Erweiterung technischer Einrichtungen“ der Mitbestimmung, „es sei denn, dass deren Eignung zur Überwachung des Verhaltens oder der Leistung der Beschäftigten ausgeschlossen ist“.</w:t>
      </w:r>
    </w:p>
    <w:p>
      <w:pPr>
        <w:pStyle w:val="ListBullet"/>
        <w:spacing w:after="60"/>
      </w:pPr>
      <w:r>
        <w:t>Bund: § 80 Abs. 1 Nr. 21 BPersVG — Mitbestimmung bei technischen Einrichtungen, die zur Überwachung von Verhalten oder Leistung der Beschäftigten bestimmt sind.</w:t>
      </w:r>
    </w:p>
    <w:p>
      <w:pPr>
        <w:pStyle w:val="ListBullet"/>
        <w:spacing w:after="60"/>
      </w:pPr>
      <w:r>
        <w:t>Privatrechtliche Gesellschaften, etwa kommunale GmbH oder Eigengesellschaften: § 87 Abs. 1 Nr. 6 BetrVG; dort heißt die Vereinbarung Betriebsvereinbarung.</w:t>
      </w:r>
    </w:p>
    <w:p>
      <w:pPr>
        <w:pStyle w:val="ListBullet"/>
        <w:spacing w:after="60"/>
      </w:pPr>
      <w:r>
        <w:t>Das Bundesarbeitsgericht legt das Merkmal so aus, dass die objektive Eignung zur Überwachung genügt und es auf die Absicht nicht ankommt (BAG, Beschluss vom 13.12.2016, 1 ABR 7/15).</w:t>
      </w:r>
    </w:p>
    <w:p>
      <w:pPr>
        <w:pStyle w:val="ListBullet"/>
        <w:spacing w:after="60"/>
      </w:pPr>
      <w:r>
        <w:t>Andere Länder: Jedes Land hat ein eigenes Personalvertretungsgesetz mit eigenem Wortlaut. Prüfen Sie die Vorschrift Ihres Landes.</w:t>
      </w:r>
    </w:p>
    <w:p>
      <w:pPr>
        <w:jc w:val="both"/>
      </w:pPr>
      <w:r>
        <w:t>Datenschutzrechtlich gilt der Grundsatz der Datenminimierung (Art. 5 Abs. 1 lit. c DSGVO): Erhoben wird nur, was für den festgelegten Zweck erforderlich ist. Für Beschäftigtendaten in Nordrhein-Westfalen gilt zusätzlich § 18 DSG NRW; nach dessen Absatz 9 dürfen Daten, die im Rahmen von Sicherheitsmaßnahmen nach Art. 32 DSGVO gespeichert werden, nicht zur Verhaltens- oder Leistungskontrolle genutzt werden. Andere Länder haben eigene Datenschutzgesetze.</w:t>
      </w:r>
    </w:p>
    <w:p>
      <w:pPr>
        <w:spacing w:before="120"/>
      </w:pPr>
      <w:r>
        <w:rPr>
          <w:b w:val="0"/>
          <w:i/>
          <w:color w:val="2550D8"/>
          <w:sz w:val="19"/>
        </w:rPr>
        <w:t>So benutzen Sie die Checkliste: Gehen Sie die zwölf Abschnitte gemeinsam mit dem Personalrat durch. Jeder Punkt mit Kästchen ist eine Frage, die die Vereinbarung beantworten sollte. Was sich häufig ändert — Datenfelder, Rollen, Berichte —, gehört in Anlagen, damit bei einer Änderung nicht die ganze Vereinbarung neu verhandelt werden muss.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1. Gegenstand und Geltungsbereich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Welches System ist gemeint — Produkt, Version, eingesetzte Module? Eine Systembeschreibung als Anlage.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Welche Fahrzeuge: alle Dienstfahrzeuge, nur Poolfahrzeuge, auch persönlich zugeordnete Fahrzeuge?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Welche Beschäftigtengruppen: auch Auszubildende, Beschäftigte anderer Dienststellen, Leiharbeitskräfte?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Welche Dienststellen, Standorte oder Eigenbetriebe sind erfasst?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Verhältnis zu bestehenden Regelungen: Dienstanweisung Kfz, Dienstwagenrichtlinie, Papier-Fahrtenbuch bis zum Stichtag.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2. Zweck der Verarbeitung</w:t>
      </w:r>
    </w:p>
    <w:p>
      <w:pPr>
        <w:jc w:val="both"/>
      </w:pPr>
      <w:r>
        <w:t>Abschließend festlegen, wofür die Daten verwendet werden dürfen, zum Beispiel: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Nachweis der dienstlichen Nutzung der Fahrzeuge.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Fuhrparkverwaltung: Auslastung, Laufleistung, Kosten, Planung von Ersatzbeschaffungen — fahrzeug- und bereichsbezogen.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Steuerliches Fahrtenbuch, soweit Fahrzeuge privat genutzt werden.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Ermittlung der fahrenden Person nach einem Verkehrsverstoß oder Schadensfall.</w:t>
      </w:r>
    </w:p>
    <w:p>
      <w:pPr>
        <w:jc w:val="both"/>
      </w:pPr>
      <w:r>
        <w:t>Ebenso ausdrücklich festlegen, wofür die Daten nicht verwendet werden: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Keine Leistungs- und Verhaltenskontrolle, kein Vergleich von Beschäftigten, keine Profilbildung.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Keine Verwendung für personelle Maßnahmen — oder nur in abschließend benannten Ausnahmefällen, und welche das sind.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Was gilt für Daten, die entgegen der Vereinbarung erhoben oder ausgewertet wurden (Verwertungsverbot)?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Eine Zweckänderung ist nur mit erneuter Beteiligung des Personalrats zulässig.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3. Erfasste Daten</w:t>
      </w:r>
    </w:p>
    <w:p>
      <w:pPr>
        <w:jc w:val="both"/>
      </w:pPr>
      <w:r>
        <w:t>Eine abschließende Liste der Datenfelder, am besten als Anlage. Typisch für ein Fahrtenbuch: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Datum, bei Bedarf Uhrzeit von Fahrtbeginn und -ende.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Fahrzeug, Kilometerstand zu Beginn und am Ende.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Fahrtstrecke mit Anfangs- und Endpunkt, Zweck der Fahrt.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Name der fahrenden Person.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Bei steuerlicher Führung zusätzlich Art der Fahrt und aufgesuchte Geschäftspartner.</w:t>
      </w:r>
    </w:p>
    <w:p>
      <w:pPr>
        <w:jc w:val="both"/>
      </w:pPr>
      <w:r>
        <w:t>Und was ausdrücklich nicht erfasst wird: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Keine GPS-Ortung und keine Aufzeichnung von Fahrverhalten (Geschwindigkeit, Beschleunigung), sofern nicht gesondert vereinbart.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Automatische Übernahme von Kilometerständen oder Positionen aus Fahrzeugdaten oder Telematik nur nach gesonderter Vereinbarung.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Hinweis an die Fahrenden, in Freitextfeldern keine Angaben über Dritte oder besondere Kategorien personenbezogener Daten zu machen.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4. Zugriffsrechte und Rollen</w:t>
      </w:r>
    </w:p>
    <w:p>
      <w:pPr>
        <w:jc w:val="both"/>
      </w:pPr>
      <w:r>
        <w:t>Ein Rollen- und Berechtigungskonzept als Anlage. Zu klären ist mindestens: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Fahrende sehen ihre eigenen Fahrten.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Dienststellen oder Fachbereiche sehen die Fahrzeuge ihres Bereichs — und nur diese.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Die Fuhrparkleitung sieht alle Fahrzeuge.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Wer bearbeitet Anfragen zur Fahrerermittlung, und mit welchem Zugriff?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Die technische Administration hat keinen inhaltlichen Zugriff, oder ihr Zugriff wird protokolliert. Gelten Standortgrenzen auch für Administratoren?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Gelten dieselben Grenzen in Berichten und Exporten?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Wer vergibt Rollen? Erhält der Personalrat regelmäßig eine Liste der Berechtigten?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Wie erhalten Beschäftigte Auskunft über die zu ihrer Person gespeicherten Fahrten?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5. Auswertungen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Zulässig sind fahrzeug- und bereichsbezogene Auswertungen, etwa Auslastung, Laufleistung und Kosten. Eine Liste der Standardberichte als Anlage.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Personenbezogene Auswertungen nur aus benanntem Anlass — zum Beispiel Fahrerermittlung nach einem Verkehrsverstoß, Schadensfall, Auskunftsersuchen der betroffenen Person.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Verfahren für den Anlassfall: Wer darf auswerten, wird der Anlass dokumentiert, gilt das Vier-Augen-Prinzip, wird die betroffene Person informiert?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Neue Standardberichte gelten als Änderung im Sinne von Abschnitt 9.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6. Protokollierung der Zugriffe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Was wird protokolliert: Einsicht in personenbezogene Einträge, Exporte, personenbezogene Auswertungen, Korrekturen, Rechteänderungen?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Wer darf die Protokolle einsehen — Datenschutzbeauftragte, Personalrat auf Anforderung?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Die Protokolle selbst dienen nur der Kontrolle der Vereinbarung, nicht der Verhaltens- oder Leistungskontrolle (in NRW vgl. § 18 Abs. 9 DSG NRW).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Wie lange werden Protokolle aufbewahrt?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7. Löschfristen und Aufbewahrung</w:t>
      </w:r>
    </w:p>
    <w:p>
      <w:pPr>
        <w:jc w:val="both"/>
      </w:pPr>
      <w:r>
        <w:t>Eine einheitliche Frist gibt es nicht. Sie folgt aus dem Zweck, für den das Fahrtenbuch geführt wird. Anhaltspunkte:</w:t>
      </w:r>
    </w:p>
    <w:p>
      <w:pPr>
        <w:pStyle w:val="ListBullet"/>
        <w:spacing w:after="60"/>
      </w:pPr>
      <w:r>
        <w:t>Behördlich angeordnetes Fahrtenbuch: sechs Monate nach Ablauf der Zeit, für die es geführt werden muss (§ 31a Abs. 3 StVZO).</w:t>
      </w:r>
    </w:p>
    <w:p>
      <w:pPr>
        <w:pStyle w:val="ListBullet"/>
        <w:spacing w:after="60"/>
      </w:pPr>
      <w:r>
        <w:t>Dienstkraftfahrzeuge des Landes Baden-Württemberg: grundsätzlich sechs Jahre (Nr. 14.6 VwV Kfz).</w:t>
      </w:r>
    </w:p>
    <w:p>
      <w:pPr>
        <w:pStyle w:val="ListBullet"/>
        <w:spacing w:after="60"/>
      </w:pPr>
      <w:r>
        <w:t>Steuerliches Fahrtenbuch: Die Frist richtet sich nach § 147 AO. Welche Kategorie dort greift, klären Sie mit Ihrer Steuerabteilung.</w:t>
      </w:r>
    </w:p>
    <w:p>
      <w:pPr>
        <w:pStyle w:val="ListBullet"/>
        <w:spacing w:after="60"/>
      </w:pPr>
      <w:r>
        <w:t>Im Übrigen die Aktenordnung oder Aufbewahrungsbestimmungen Ihrer Verwaltung.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Frist je Datenart festlegen, als Löschkonzept in einer Anlage.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Löschung automatisch und protokolliert; wer prüft, dass sie stattfindet?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Umgang mit Daten, die für ein laufendes Verfahren gebraucht werden (Sperrung statt Löschung, bis wann).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8. Betrieb und Auftragsverarbeitung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Wo läuft das System: eigene IT, kommunaler IT-Dienstleister, Anbieter oder Cloud-Dienst?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Bei Betrieb durch Dritte: Vertrag nach Art. 28 DSGVO, Unterauftragsverarbeiter, Speicherort der Daten.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Zugriff des Anbieters, etwa im Support, nur nach Freigabe und protokolliert.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Technische und organisatorische Maßnahmen (Art. 32 DSGVO) als Anlage oder Verweis.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Information des Personalrats bei einem Wechsel des Betreibers oder des Speicherorts.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9. Änderungen und Erweiterungen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Neue Module, Datenfelder, Auswertungen oder Schnittstellen — etwa Telematik oder Ortung — bedürfen einer erneuten Beteiligung; das LPVG NRW nennt die Erweiterung ausdrücklich.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Was ist eine wesentliche Änderung, was ein Update ohne Auswirkung auf die Datenverarbeitung, über das nur informiert wird?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Änderungen an Anlagen (Datenkatalog, Rollen, Berichte) im vereinfachten Verfahren?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10. Schulung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Wer wird geschult: Fahrende, Bereichsverantwortliche, Fuhrparkleitung, Administration?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Inhalte: Bedienung, Inhalt dieser Vereinbarung, Datenschutz, Verfahren im Anlassfall.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Zeitpunkt: vor Freischaltung des Zugangs. Wo stehen die Unterlagen zur Verfügung?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11. Evaluation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Gemeinsame Überprüfung nach [12] Monaten und danach in festem Abstand.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Welche Informationen liegen dafür vor: Zahl der personenbezogenen Auswertungen aus Anlass, Protokollauszüge, Probleme aus der Praxis?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Wie werden Ergebnisse in Änderungen der Vereinbarung oder der Anlagen umgesetzt?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12. Inkrafttreten, Laufzeit, Kündigung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Inkrafttreten und Stichtag der Umstellung vom Papier-Fahrtenbuch.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Laufzeit und Kündigungsfrist.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Gilt die Vereinbarung nach einer Kündigung bis zu einer neuen Regelung weiter (Nachwirkung)?</w:t>
      </w:r>
    </w:p>
    <w:p>
      <w:pPr>
        <w:tabs>
          <w:tab w:pos="360" w:val="left"/>
        </w:tabs>
        <w:spacing w:after="60"/>
        <w:ind w:left="360" w:hanging="360"/>
      </w:pPr>
      <w:r>
        <w:rPr>
          <w:b w:val="0"/>
          <w:i w:val="0"/>
          <w:color w:val="0B2440"/>
        </w:rPr>
        <w:t>☐</w:t>
        <w:tab/>
      </w:r>
      <w:r>
        <w:rPr>
          <w:b w:val="0"/>
          <w:i w:val="0"/>
        </w:rPr>
        <w:t>Was geschieht mit den Daten, wenn das System abgelöst oder abgeschaltet wird?</w:t>
      </w:r>
    </w:p>
    <w:p>
      <w:pPr>
        <w:keepNext/>
        <w:spacing w:before="280"/>
      </w:pPr>
      <w:r>
        <w:rPr>
          <w:b/>
          <w:i w:val="0"/>
          <w:color w:val="0B2440"/>
          <w:sz w:val="25"/>
        </w:rPr>
        <w:t>Mögliche Anlagen</w:t>
      </w:r>
    </w:p>
    <w:p>
      <w:pPr>
        <w:pStyle w:val="ListBullet"/>
        <w:spacing w:after="60"/>
      </w:pPr>
      <w:r>
        <w:t>Anlage 1: Systembeschreibung (Produkt, Version, Module, Betriebsmodell)</w:t>
      </w:r>
    </w:p>
    <w:p>
      <w:pPr>
        <w:pStyle w:val="ListBullet"/>
        <w:spacing w:after="60"/>
      </w:pPr>
      <w:r>
        <w:t>Anlage 2: Datenkatalog (abschließende Liste der Felder)</w:t>
      </w:r>
    </w:p>
    <w:p>
      <w:pPr>
        <w:pStyle w:val="ListBullet"/>
        <w:spacing w:after="60"/>
      </w:pPr>
      <w:r>
        <w:t>Anlage 3: Rollen- und Berechtigungskonzept</w:t>
      </w:r>
    </w:p>
    <w:p>
      <w:pPr>
        <w:pStyle w:val="ListBullet"/>
        <w:spacing w:after="60"/>
      </w:pPr>
      <w:r>
        <w:t>Anlage 4: Liste der Standardauswertungen</w:t>
      </w:r>
    </w:p>
    <w:p>
      <w:pPr>
        <w:pStyle w:val="ListBullet"/>
        <w:spacing w:after="60"/>
      </w:pPr>
      <w:r>
        <w:t>Anlage 5: Löschkonzept</w:t>
      </w:r>
    </w:p>
    <w:p>
      <w:pPr>
        <w:pStyle w:val="ListBullet"/>
        <w:spacing w:after="60"/>
      </w:pPr>
      <w:r>
        <w:t>Anlage 6: Auftragsverarbeitungsvertrag und TOM (bei Betrieb durch Dritte)</w:t>
      </w:r>
    </w:p>
    <w:p>
      <w:pPr>
        <w:spacing w:before="280"/>
      </w:pPr>
      <w:r>
        <w:rPr>
          <w:b/>
          <w:i w:val="0"/>
          <w:color w:val="0B2440"/>
          <w:sz w:val="25"/>
        </w:rPr>
        <w:t>Notizen / Ergebnis der Abstimmung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 w:val="0"/>
          <w:i w:val="0"/>
          <w:color w:val="475467"/>
          <w:sz w:val="16"/>
        </w:rPr>
        <w:br/>
        <w:t>Vorlage von mobilitymanager.io · Version 1.0 · Stand 28.09.2026 · Nutzung frei, ohne Registrierung. Keine Rechtsberatung, kein Mustervertrag.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Eckpunkte für eine Dienstvereinbarung zum digitalen Fahrtenbuch</dc:title>
  <dc:subject/>
  <dc:creator>Cloudkasten GmbH</dc:creator>
  <cp:keywords/>
  <dc:description>generated by python-docx</dc:description>
  <cp:lastModifiedBy>Cloudkasten GmbH</cp:lastModifiedBy>
  <cp:revision>1</cp:revision>
  <dcterms:created xsi:type="dcterms:W3CDTF">2026-09-28T00:00:00Z</dcterms:created>
  <dcterms:modified xsi:type="dcterms:W3CDTF">2026-09-28T00:00:00Z</dcterms:modified>
  <cp:category/>
</cp:coreProperties>
</file>